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ind w:firstLine="0"/>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Freshman Year Timeline</w:t>
      </w:r>
      <w:r w:rsidDel="00000000" w:rsidR="00000000" w:rsidRPr="00000000">
        <w:rPr>
          <w:rtl w:val="0"/>
        </w:rPr>
      </w:r>
    </w:p>
    <w:p w:rsidR="00000000" w:rsidDel="00000000" w:rsidP="00000000" w:rsidRDefault="00000000" w:rsidRPr="00000000" w14:paraId="00000002">
      <w:pPr>
        <w:ind w:left="0" w:hanging="2"/>
        <w:jc w:val="cente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The most important focus this first year of high school should be reaching your academic potential, honing your study skills, and continuing to develop your God-given talents by getting involved in extracurriculars. </w:t>
      </w:r>
    </w:p>
    <w:p w:rsidR="00000000" w:rsidDel="00000000" w:rsidP="00000000" w:rsidRDefault="00000000" w:rsidRPr="00000000" w14:paraId="00000003">
      <w:pPr>
        <w:ind w:left="0" w:hanging="2"/>
        <w:jc w:val="center"/>
        <w:rPr>
          <w:rFonts w:ascii="Georgia" w:cs="Georgia" w:eastAsia="Georgia" w:hAnsi="Georgia"/>
          <w:sz w:val="20"/>
          <w:szCs w:val="20"/>
        </w:rPr>
      </w:pPr>
      <w:r w:rsidDel="00000000" w:rsidR="00000000" w:rsidRPr="00000000">
        <w:rPr>
          <w:rFonts w:ascii="Georgia" w:cs="Georgia" w:eastAsia="Georgia" w:hAnsi="Georgia"/>
          <w:sz w:val="22"/>
          <w:szCs w:val="22"/>
          <w:rtl w:val="0"/>
        </w:rPr>
        <w:t xml:space="preserve">The timeline below will help keep you on track in your first year of high school.</w:t>
      </w:r>
      <w:r w:rsidDel="00000000" w:rsidR="00000000" w:rsidRPr="00000000">
        <w:rPr>
          <w:rtl w:val="0"/>
        </w:rPr>
      </w:r>
    </w:p>
    <w:p w:rsidR="00000000" w:rsidDel="00000000" w:rsidP="00000000" w:rsidRDefault="00000000" w:rsidRPr="00000000" w14:paraId="00000004">
      <w:pPr>
        <w:ind w:left="0" w:hanging="2"/>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(Updated: 7/2025)</w:t>
      </w:r>
    </w:p>
    <w:p w:rsidR="00000000" w:rsidDel="00000000" w:rsidP="00000000" w:rsidRDefault="00000000" w:rsidRPr="00000000" w14:paraId="00000005">
      <w:pPr>
        <w:widowControl w:val="0"/>
        <w:spacing w:before="2" w:lineRule="auto"/>
        <w:ind w:right="666" w:firstLine="0"/>
        <w:jc w:val="center"/>
        <w:rPr>
          <w:rFonts w:ascii="Georgia" w:cs="Georgia" w:eastAsia="Georgia" w:hAnsi="Georgia"/>
          <w:i w:val="1"/>
          <w:sz w:val="22"/>
          <w:szCs w:val="22"/>
        </w:rPr>
      </w:pPr>
      <w:r w:rsidDel="00000000" w:rsidR="00000000" w:rsidRPr="00000000">
        <w:rPr>
          <w:rtl w:val="0"/>
        </w:rPr>
      </w:r>
    </w:p>
    <w:tbl>
      <w:tblPr>
        <w:tblStyle w:val="Table1"/>
        <w:tblW w:w="11355.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5"/>
        <w:gridCol w:w="6675"/>
        <w:gridCol w:w="2295"/>
        <w:tblGridChange w:id="0">
          <w:tblGrid>
            <w:gridCol w:w="2385"/>
            <w:gridCol w:w="6675"/>
            <w:gridCol w:w="2295"/>
          </w:tblGrid>
        </w:tblGridChange>
      </w:tblGrid>
      <w:tr>
        <w:trPr>
          <w:cantSplit w:val="0"/>
          <w:trHeight w:val="198" w:hRule="atLeast"/>
          <w:tblHeader w:val="0"/>
        </w:trPr>
        <w:tc>
          <w:tcPr>
            <w:shd w:fill="44536a" w:val="clear"/>
            <w:vAlign w:val="center"/>
          </w:tcPr>
          <w:p w:rsidR="00000000" w:rsidDel="00000000" w:rsidP="00000000" w:rsidRDefault="00000000" w:rsidRPr="00000000" w14:paraId="00000006">
            <w:pPr>
              <w:widowControl w:val="0"/>
              <w:spacing w:line="205" w:lineRule="auto"/>
              <w:ind w:left="767" w:firstLine="0"/>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WHEN</w:t>
            </w:r>
            <w:r w:rsidDel="00000000" w:rsidR="00000000" w:rsidRPr="00000000">
              <w:rPr>
                <w:rtl w:val="0"/>
              </w:rPr>
            </w:r>
          </w:p>
        </w:tc>
        <w:tc>
          <w:tcPr>
            <w:shd w:fill="44536a" w:val="clear"/>
            <w:vAlign w:val="center"/>
          </w:tcPr>
          <w:p w:rsidR="00000000" w:rsidDel="00000000" w:rsidP="00000000" w:rsidRDefault="00000000" w:rsidRPr="00000000" w14:paraId="00000007">
            <w:pPr>
              <w:widowControl w:val="0"/>
              <w:spacing w:line="205" w:lineRule="auto"/>
              <w:ind w:left="149"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WHAT</w:t>
            </w:r>
            <w:r w:rsidDel="00000000" w:rsidR="00000000" w:rsidRPr="00000000">
              <w:rPr>
                <w:rtl w:val="0"/>
              </w:rPr>
            </w:r>
          </w:p>
        </w:tc>
        <w:tc>
          <w:tcPr>
            <w:shd w:fill="44536a" w:val="clear"/>
            <w:vAlign w:val="center"/>
          </w:tcPr>
          <w:p w:rsidR="00000000" w:rsidDel="00000000" w:rsidP="00000000" w:rsidRDefault="00000000" w:rsidRPr="00000000" w14:paraId="00000008">
            <w:pPr>
              <w:widowControl w:val="0"/>
              <w:spacing w:line="205" w:lineRule="auto"/>
              <w:ind w:left="229" w:right="230" w:firstLine="0"/>
              <w:jc w:val="center"/>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WHO</w:t>
            </w:r>
            <w:r w:rsidDel="00000000" w:rsidR="00000000" w:rsidRPr="00000000">
              <w:rPr>
                <w:rtl w:val="0"/>
              </w:rPr>
            </w:r>
          </w:p>
        </w:tc>
      </w:tr>
      <w:tr>
        <w:trPr>
          <w:cantSplit w:val="0"/>
          <w:trHeight w:val="801" w:hRule="atLeast"/>
          <w:tblHeader w:val="0"/>
        </w:trPr>
        <w:tc>
          <w:tcPr>
            <w:vAlign w:val="center"/>
          </w:tcPr>
          <w:p w:rsidR="00000000" w:rsidDel="00000000" w:rsidP="00000000" w:rsidRDefault="00000000" w:rsidRPr="00000000" w14:paraId="00000009">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Freshman Year </w:t>
            </w:r>
          </w:p>
          <w:p w:rsidR="00000000" w:rsidDel="00000000" w:rsidP="00000000" w:rsidRDefault="00000000" w:rsidRPr="00000000" w14:paraId="0000000A">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(ongoing)</w:t>
            </w:r>
          </w:p>
        </w:tc>
        <w:tc>
          <w:tcPr>
            <w:vAlign w:val="center"/>
          </w:tcPr>
          <w:p w:rsidR="00000000" w:rsidDel="00000000" w:rsidP="00000000" w:rsidRDefault="00000000" w:rsidRPr="00000000" w14:paraId="0000000B">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C">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Transition to High School</w:t>
            </w:r>
          </w:p>
          <w:p w:rsidR="00000000" w:rsidDel="00000000" w:rsidP="00000000" w:rsidRDefault="00000000" w:rsidRPr="00000000" w14:paraId="0000000D">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Focus on adjusting academically and socially. Work hard, especially in core classes (English, Math, Science, History, and World Languages), and get help if needed. Explore ways to invest your time outside of the classroom: clubs, sports, fine arts, volunteer work, etc.       </w:t>
            </w:r>
          </w:p>
          <w:p w:rsidR="00000000" w:rsidDel="00000000" w:rsidP="00000000" w:rsidRDefault="00000000" w:rsidRPr="00000000" w14:paraId="0000000E">
            <w:pPr>
              <w:ind w:hanging="2"/>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0F">
            <w:pPr>
              <w:widowControl w:val="0"/>
              <w:ind w:left="603" w:right="602" w:firstLine="2.0000000000000284"/>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633" w:hRule="atLeast"/>
          <w:tblHeader w:val="0"/>
        </w:trPr>
        <w:tc>
          <w:tcPr>
            <w:vAlign w:val="center"/>
          </w:tcPr>
          <w:p w:rsidR="00000000" w:rsidDel="00000000" w:rsidP="00000000" w:rsidRDefault="00000000" w:rsidRPr="00000000" w14:paraId="00000010">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September</w:t>
            </w:r>
          </w:p>
        </w:tc>
        <w:tc>
          <w:tcPr>
            <w:vAlign w:val="center"/>
          </w:tcPr>
          <w:p w:rsidR="00000000" w:rsidDel="00000000" w:rsidP="00000000" w:rsidRDefault="00000000" w:rsidRPr="00000000" w14:paraId="00000011">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2">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Freshman and Sophomore College Kick-Off Night</w:t>
            </w:r>
          </w:p>
          <w:p w:rsidR="00000000" w:rsidDel="00000000" w:rsidP="00000000" w:rsidRDefault="00000000" w:rsidRPr="00000000" w14:paraId="00000013">
            <w:pPr>
              <w:widowControl w:val="0"/>
              <w:ind w:left="151"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Initial overview of college admissions process and college counseling services available to you throughout your high school years. </w:t>
            </w:r>
          </w:p>
          <w:p w:rsidR="00000000" w:rsidDel="00000000" w:rsidP="00000000" w:rsidRDefault="00000000" w:rsidRPr="00000000" w14:paraId="00000014">
            <w:pPr>
              <w:widowControl w:val="0"/>
              <w:ind w:left="151" w:right="146"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(Date To Be Announced)</w:t>
            </w:r>
          </w:p>
          <w:p w:rsidR="00000000" w:rsidDel="00000000" w:rsidP="00000000" w:rsidRDefault="00000000" w:rsidRPr="00000000" w14:paraId="00000015">
            <w:pPr>
              <w:widowControl w:val="0"/>
              <w:ind w:left="151" w:right="146"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6">
            <w:pPr>
              <w:widowControl w:val="0"/>
              <w:spacing w:before="1"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College Counselors</w:t>
            </w:r>
          </w:p>
        </w:tc>
      </w:tr>
      <w:tr>
        <w:trPr>
          <w:cantSplit w:val="0"/>
          <w:trHeight w:val="399" w:hRule="atLeast"/>
          <w:tblHeader w:val="0"/>
        </w:trPr>
        <w:tc>
          <w:tcPr>
            <w:vAlign w:val="center"/>
          </w:tcPr>
          <w:p w:rsidR="00000000" w:rsidDel="00000000" w:rsidP="00000000" w:rsidRDefault="00000000" w:rsidRPr="00000000" w14:paraId="00000017">
            <w:pPr>
              <w:widowControl w:val="0"/>
              <w:spacing w:before="114" w:lineRule="auto"/>
              <w:ind w:left="595" w:right="697"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October</w:t>
            </w:r>
          </w:p>
        </w:tc>
        <w:tc>
          <w:tcPr>
            <w:vAlign w:val="center"/>
          </w:tcPr>
          <w:p w:rsidR="00000000" w:rsidDel="00000000" w:rsidP="00000000" w:rsidRDefault="00000000" w:rsidRPr="00000000" w14:paraId="00000018">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9">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Standardized Testing: PSAT</w:t>
            </w:r>
          </w:p>
          <w:p w:rsidR="00000000" w:rsidDel="00000000" w:rsidP="00000000" w:rsidRDefault="00000000" w:rsidRPr="00000000" w14:paraId="0000001A">
            <w:pPr>
              <w:widowControl w:val="0"/>
              <w:spacing w:before="18"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practice test offered through College Board is administered during the school day at Landmark. It is taken 9th-11th grade and serves as a practice for the SAT. </w:t>
            </w:r>
          </w:p>
          <w:p w:rsidR="00000000" w:rsidDel="00000000" w:rsidP="00000000" w:rsidRDefault="00000000" w:rsidRPr="00000000" w14:paraId="0000001B">
            <w:pPr>
              <w:widowControl w:val="0"/>
              <w:spacing w:before="18" w:lineRule="auto"/>
              <w:ind w:left="0" w:right="146" w:firstLine="0"/>
              <w:jc w:val="left"/>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C">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401" w:hRule="atLeast"/>
          <w:tblHeader w:val="0"/>
        </w:trPr>
        <w:tc>
          <w:tcPr>
            <w:vAlign w:val="center"/>
          </w:tcPr>
          <w:p w:rsidR="00000000" w:rsidDel="00000000" w:rsidP="00000000" w:rsidRDefault="00000000" w:rsidRPr="00000000" w14:paraId="0000001D">
            <w:pPr>
              <w:widowControl w:val="0"/>
              <w:ind w:left="174"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August - November</w:t>
            </w:r>
          </w:p>
        </w:tc>
        <w:tc>
          <w:tcPr>
            <w:vAlign w:val="center"/>
          </w:tcPr>
          <w:p w:rsidR="00000000" w:rsidDel="00000000" w:rsidP="00000000" w:rsidRDefault="00000000" w:rsidRPr="00000000" w14:paraId="0000001E">
            <w:pPr>
              <w:widowControl w:val="0"/>
              <w:spacing w:before="114"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College Admission Rep Visits</w:t>
            </w:r>
          </w:p>
          <w:p w:rsidR="00000000" w:rsidDel="00000000" w:rsidP="00000000" w:rsidRDefault="00000000" w:rsidRPr="00000000" w14:paraId="0000001F">
            <w:pPr>
              <w:widowControl w:val="0"/>
              <w:spacing w:before="114" w:lineRule="auto"/>
              <w:ind w:left="148"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Attend presentations and visits when College Admission representatives visit Landmark during the school day. These will take place during lunch and study hall periods.</w:t>
            </w:r>
          </w:p>
          <w:p w:rsidR="00000000" w:rsidDel="00000000" w:rsidP="00000000" w:rsidRDefault="00000000" w:rsidRPr="00000000" w14:paraId="00000020">
            <w:pPr>
              <w:widowControl w:val="0"/>
              <w:spacing w:before="114" w:lineRule="auto"/>
              <w:ind w:left="148" w:right="146" w:firstLine="0"/>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1">
            <w:pPr>
              <w:widowControl w:val="0"/>
              <w:spacing w:before="1" w:lineRule="auto"/>
              <w:ind w:left="680" w:right="435" w:hanging="221"/>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t>
            </w:r>
          </w:p>
          <w:p w:rsidR="00000000" w:rsidDel="00000000" w:rsidP="00000000" w:rsidRDefault="00000000" w:rsidRPr="00000000" w14:paraId="00000022">
            <w:pPr>
              <w:widowControl w:val="0"/>
              <w:spacing w:before="1" w:lineRule="auto"/>
              <w:ind w:left="459" w:right="435" w:firstLine="0"/>
              <w:jc w:val="center"/>
              <w:rPr>
                <w:rFonts w:ascii="Georgia" w:cs="Georgia" w:eastAsia="Georgia" w:hAnsi="Georgia"/>
                <w:sz w:val="20"/>
                <w:szCs w:val="20"/>
              </w:rPr>
            </w:pP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23">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February - March</w:t>
            </w:r>
          </w:p>
        </w:tc>
        <w:tc>
          <w:tcPr>
            <w:vAlign w:val="center"/>
          </w:tcPr>
          <w:p w:rsidR="00000000" w:rsidDel="00000000" w:rsidP="00000000" w:rsidRDefault="00000000" w:rsidRPr="00000000" w14:paraId="00000024">
            <w:pPr>
              <w:widowControl w:val="0"/>
              <w:spacing w:before="1" w:line="226" w:lineRule="auto"/>
              <w:ind w:left="1830" w:firstLine="0"/>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5">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Registration &amp; High School Planning Q&amp;A Sessions</w:t>
            </w:r>
          </w:p>
          <w:p w:rsidR="00000000" w:rsidDel="00000000" w:rsidP="00000000" w:rsidRDefault="00000000" w:rsidRPr="00000000" w14:paraId="00000026">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Prepare to attend one Q&amp;A session (offered virtually and in-person) to discuss upcoming course registration and ask any questions related to college planning. </w:t>
            </w:r>
          </w:p>
          <w:p w:rsidR="00000000" w:rsidDel="00000000" w:rsidP="00000000" w:rsidRDefault="00000000" w:rsidRPr="00000000" w14:paraId="00000027">
            <w:pPr>
              <w:widowControl w:val="0"/>
              <w:ind w:right="11"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8">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Parents, Principal, Registrar, College Counselors</w:t>
            </w:r>
          </w:p>
        </w:tc>
      </w:tr>
      <w:tr>
        <w:trPr>
          <w:cantSplit w:val="0"/>
          <w:trHeight w:val="630" w:hRule="atLeast"/>
          <w:tblHeader w:val="0"/>
        </w:trPr>
        <w:tc>
          <w:tcPr>
            <w:vAlign w:val="center"/>
          </w:tcPr>
          <w:p w:rsidR="00000000" w:rsidDel="00000000" w:rsidP="00000000" w:rsidRDefault="00000000" w:rsidRPr="00000000" w14:paraId="00000029">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March - April</w:t>
            </w:r>
          </w:p>
        </w:tc>
        <w:tc>
          <w:tcPr>
            <w:vAlign w:val="center"/>
          </w:tcPr>
          <w:p w:rsidR="00000000" w:rsidDel="00000000" w:rsidP="00000000" w:rsidRDefault="00000000" w:rsidRPr="00000000" w14:paraId="0000002A">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B">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Advising Meetings and Registration</w:t>
            </w:r>
          </w:p>
          <w:p w:rsidR="00000000" w:rsidDel="00000000" w:rsidP="00000000" w:rsidRDefault="00000000" w:rsidRPr="00000000" w14:paraId="0000002C">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Keep an eye on your portal messages and student email addresses for information regarding your course registration meeting. The purpose of these meetings is to discuss your specific course selections for the upcoming school year.</w:t>
            </w:r>
          </w:p>
          <w:p w:rsidR="00000000" w:rsidDel="00000000" w:rsidP="00000000" w:rsidRDefault="00000000" w:rsidRPr="00000000" w14:paraId="0000002D">
            <w:pPr>
              <w:widowControl w:val="0"/>
              <w:ind w:right="11"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E">
            <w:pPr>
              <w:widowControl w:val="0"/>
              <w:ind w:right="11"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Registration will take place in the month of April.</w:t>
            </w:r>
          </w:p>
          <w:p w:rsidR="00000000" w:rsidDel="00000000" w:rsidP="00000000" w:rsidRDefault="00000000" w:rsidRPr="00000000" w14:paraId="0000002F">
            <w:pPr>
              <w:widowControl w:val="0"/>
              <w:ind w:right="11"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30">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Registrar, College Counselors</w:t>
            </w:r>
          </w:p>
        </w:tc>
      </w:tr>
      <w:tr>
        <w:trPr>
          <w:cantSplit w:val="0"/>
          <w:trHeight w:val="630" w:hRule="atLeast"/>
          <w:tblHeader w:val="0"/>
        </w:trPr>
        <w:tc>
          <w:tcPr>
            <w:vAlign w:val="center"/>
          </w:tcPr>
          <w:p w:rsidR="00000000" w:rsidDel="00000000" w:rsidP="00000000" w:rsidRDefault="00000000" w:rsidRPr="00000000" w14:paraId="00000031">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April</w:t>
            </w:r>
          </w:p>
        </w:tc>
        <w:tc>
          <w:tcPr>
            <w:vAlign w:val="center"/>
          </w:tcPr>
          <w:p w:rsidR="00000000" w:rsidDel="00000000" w:rsidP="00000000" w:rsidRDefault="00000000" w:rsidRPr="00000000" w14:paraId="00000032">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3">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Standardized Testing: Pre-ACT</w:t>
            </w:r>
          </w:p>
          <w:p w:rsidR="00000000" w:rsidDel="00000000" w:rsidP="00000000" w:rsidRDefault="00000000" w:rsidRPr="00000000" w14:paraId="00000034">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practice test offered through ACT is administered during the school day at Landmark. It is taken 9th and 10th grade and serves as practice for the ACT. </w:t>
            </w:r>
          </w:p>
          <w:p w:rsidR="00000000" w:rsidDel="00000000" w:rsidP="00000000" w:rsidRDefault="00000000" w:rsidRPr="00000000" w14:paraId="00000035">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36">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630" w:hRule="atLeast"/>
          <w:tblHeader w:val="0"/>
        </w:trPr>
        <w:tc>
          <w:tcPr>
            <w:vAlign w:val="center"/>
          </w:tcPr>
          <w:p w:rsidR="00000000" w:rsidDel="00000000" w:rsidP="00000000" w:rsidRDefault="00000000" w:rsidRPr="00000000" w14:paraId="00000037">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April - July</w:t>
            </w:r>
          </w:p>
        </w:tc>
        <w:tc>
          <w:tcPr>
            <w:vAlign w:val="center"/>
          </w:tcPr>
          <w:p w:rsidR="00000000" w:rsidDel="00000000" w:rsidP="00000000" w:rsidRDefault="00000000" w:rsidRPr="00000000" w14:paraId="00000038">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9">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Summer Enrichment Opportunities</w:t>
            </w:r>
          </w:p>
          <w:p w:rsidR="00000000" w:rsidDel="00000000" w:rsidP="00000000" w:rsidRDefault="00000000" w:rsidRPr="00000000" w14:paraId="0000003A">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Consider participating in summer enrichment programs and actively seek out opportunities to grow in areas that are of interest to you - whether it’s career, service, hobby, or college-focused. </w:t>
            </w:r>
          </w:p>
          <w:p w:rsidR="00000000" w:rsidDel="00000000" w:rsidP="00000000" w:rsidRDefault="00000000" w:rsidRPr="00000000" w14:paraId="0000003B">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3C">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with support from College Counselors and Parents</w:t>
            </w:r>
          </w:p>
        </w:tc>
      </w:tr>
      <w:tr>
        <w:trPr>
          <w:cantSplit w:val="0"/>
          <w:trHeight w:val="630" w:hRule="atLeast"/>
          <w:tblHeader w:val="0"/>
        </w:trPr>
        <w:tc>
          <w:tcPr>
            <w:vMerge w:val="restart"/>
            <w:vAlign w:val="center"/>
          </w:tcPr>
          <w:p w:rsidR="00000000" w:rsidDel="00000000" w:rsidP="00000000" w:rsidRDefault="00000000" w:rsidRPr="00000000" w14:paraId="0000003D">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Second Semester (ongoing)</w:t>
            </w:r>
          </w:p>
        </w:tc>
        <w:tc>
          <w:tcPr>
            <w:vAlign w:val="center"/>
          </w:tcPr>
          <w:p w:rsidR="00000000" w:rsidDel="00000000" w:rsidP="00000000" w:rsidRDefault="00000000" w:rsidRPr="00000000" w14:paraId="0000003E">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F">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Crafting your Resume</w:t>
            </w:r>
          </w:p>
          <w:p w:rsidR="00000000" w:rsidDel="00000000" w:rsidP="00000000" w:rsidRDefault="00000000" w:rsidRPr="00000000" w14:paraId="00000040">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Reflecting on the past year, begin steps for crafting your college resume. Make a spreadsheet to keep track of academics, awards, honors, leadership, extracurriculars, service, fine arts, etc. Keep it accessible so you may refer back to it in the years to come.</w:t>
            </w:r>
          </w:p>
          <w:p w:rsidR="00000000" w:rsidDel="00000000" w:rsidP="00000000" w:rsidRDefault="00000000" w:rsidRPr="00000000" w14:paraId="00000041">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42">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630" w:hRule="atLeast"/>
          <w:tblHeader w:val="0"/>
        </w:trPr>
        <w:tc>
          <w:tcPr>
            <w:vMerge w:val="continue"/>
            <w:vAlign w:val="center"/>
          </w:tcPr>
          <w:p w:rsidR="00000000" w:rsidDel="00000000" w:rsidP="00000000" w:rsidRDefault="00000000" w:rsidRPr="00000000" w14:paraId="00000043">
            <w:pPr>
              <w:widowControl w:val="0"/>
              <w:spacing w:after="0" w:before="0" w:line="240"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44">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5">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Create your Scoir Account</w:t>
            </w:r>
          </w:p>
          <w:p w:rsidR="00000000" w:rsidDel="00000000" w:rsidP="00000000" w:rsidRDefault="00000000" w:rsidRPr="00000000" w14:paraId="00000046">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With guidance from the College Counselors, create your </w:t>
            </w:r>
            <w:hyperlink r:id="rId7">
              <w:r w:rsidDel="00000000" w:rsidR="00000000" w:rsidRPr="00000000">
                <w:rPr>
                  <w:rFonts w:ascii="Georgia" w:cs="Georgia" w:eastAsia="Georgia" w:hAnsi="Georgia"/>
                  <w:color w:val="1155cc"/>
                  <w:sz w:val="20"/>
                  <w:szCs w:val="20"/>
                  <w:u w:val="single"/>
                  <w:rtl w:val="0"/>
                </w:rPr>
                <w:t xml:space="preserve">Scoir.com</w:t>
              </w:r>
            </w:hyperlink>
            <w:r w:rsidDel="00000000" w:rsidR="00000000" w:rsidRPr="00000000">
              <w:rPr>
                <w:rFonts w:ascii="Georgia" w:cs="Georgia" w:eastAsia="Georgia" w:hAnsi="Georgia"/>
                <w:sz w:val="20"/>
                <w:szCs w:val="20"/>
                <w:rtl w:val="0"/>
              </w:rPr>
              <w:t xml:space="preserve"> account and begin using it as a tool to explore. You may take personality, college, and career assessments, explore colleges and universities, and search through resources provided by the College Counselors. </w:t>
            </w:r>
          </w:p>
          <w:p w:rsidR="00000000" w:rsidDel="00000000" w:rsidP="00000000" w:rsidRDefault="00000000" w:rsidRPr="00000000" w14:paraId="00000047">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48">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with support from College Counselors</w:t>
            </w:r>
          </w:p>
        </w:tc>
      </w:tr>
    </w:tbl>
    <w:p w:rsidR="00000000" w:rsidDel="00000000" w:rsidP="00000000" w:rsidRDefault="00000000" w:rsidRPr="00000000" w14:paraId="00000049">
      <w:pPr>
        <w:widowControl w:val="0"/>
        <w:tabs>
          <w:tab w:val="left" w:leader="none" w:pos="2816"/>
        </w:tabs>
        <w:ind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A">
      <w:pPr>
        <w:tabs>
          <w:tab w:val="left" w:leader="none" w:pos="2520"/>
        </w:tabs>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4B">
      <w:pPr>
        <w:tabs>
          <w:tab w:val="left" w:leader="none" w:pos="2520"/>
        </w:tabs>
        <w:ind w:left="0" w:firstLine="0"/>
        <w:rPr>
          <w:rFonts w:ascii="Garamond" w:cs="Garamond" w:eastAsia="Garamond" w:hAnsi="Garamond"/>
          <w:u w:val="single"/>
        </w:rPr>
      </w:pPr>
      <w:r w:rsidDel="00000000" w:rsidR="00000000" w:rsidRPr="00000000">
        <w:rPr>
          <w:rFonts w:ascii="Garamond" w:cs="Garamond" w:eastAsia="Garamond" w:hAnsi="Garamond"/>
          <w:u w:val="single"/>
          <w:rtl w:val="0"/>
        </w:rPr>
        <w:t xml:space="preserve">High School Team Contact Information:</w:t>
      </w:r>
    </w:p>
    <w:p w:rsidR="00000000" w:rsidDel="00000000" w:rsidP="00000000" w:rsidRDefault="00000000" w:rsidRPr="00000000" w14:paraId="0000004C">
      <w:pPr>
        <w:tabs>
          <w:tab w:val="left" w:leader="none" w:pos="2520"/>
        </w:tabs>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4D">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Dylan Curtis,</w:t>
      </w:r>
      <w:r w:rsidDel="00000000" w:rsidR="00000000" w:rsidRPr="00000000">
        <w:rPr>
          <w:rFonts w:ascii="Garamond" w:cs="Garamond" w:eastAsia="Garamond" w:hAnsi="Garamond"/>
          <w:rtl w:val="0"/>
        </w:rPr>
        <w:t xml:space="preserve"> High School Principal: </w:t>
      </w:r>
      <w:hyperlink r:id="rId8">
        <w:r w:rsidDel="00000000" w:rsidR="00000000" w:rsidRPr="00000000">
          <w:rPr>
            <w:rFonts w:ascii="Garamond" w:cs="Garamond" w:eastAsia="Garamond" w:hAnsi="Garamond"/>
            <w:color w:val="1155cc"/>
            <w:u w:val="single"/>
            <w:rtl w:val="0"/>
          </w:rPr>
          <w:t xml:space="preserve">dcurtis@landmark-cs.org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4E">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Aaron Harris, </w:t>
      </w:r>
      <w:r w:rsidDel="00000000" w:rsidR="00000000" w:rsidRPr="00000000">
        <w:rPr>
          <w:rFonts w:ascii="Garamond" w:cs="Garamond" w:eastAsia="Garamond" w:hAnsi="Garamond"/>
          <w:rtl w:val="0"/>
        </w:rPr>
        <w:t xml:space="preserve">Dean of Students: </w:t>
      </w:r>
      <w:hyperlink r:id="rId9">
        <w:r w:rsidDel="00000000" w:rsidR="00000000" w:rsidRPr="00000000">
          <w:rPr>
            <w:rFonts w:ascii="Garamond" w:cs="Garamond" w:eastAsia="Garamond" w:hAnsi="Garamond"/>
            <w:color w:val="1155cc"/>
            <w:u w:val="single"/>
            <w:rtl w:val="0"/>
          </w:rPr>
          <w:t xml:space="preserve">aharris@landmark-cs.org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4F">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Shannon Sheffield, </w:t>
      </w:r>
      <w:r w:rsidDel="00000000" w:rsidR="00000000" w:rsidRPr="00000000">
        <w:rPr>
          <w:rFonts w:ascii="Garamond" w:cs="Garamond" w:eastAsia="Garamond" w:hAnsi="Garamond"/>
          <w:rtl w:val="0"/>
        </w:rPr>
        <w:t xml:space="preserve">School Counselor and Director of Student Life: </w:t>
      </w:r>
      <w:hyperlink r:id="rId10">
        <w:r w:rsidDel="00000000" w:rsidR="00000000" w:rsidRPr="00000000">
          <w:rPr>
            <w:rFonts w:ascii="Garamond" w:cs="Garamond" w:eastAsia="Garamond" w:hAnsi="Garamond"/>
            <w:color w:val="1155cc"/>
            <w:u w:val="single"/>
            <w:rtl w:val="0"/>
          </w:rPr>
          <w:t xml:space="preserve">ssheffield@landmark-cs.org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50">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Sherri Fasci,</w:t>
      </w:r>
      <w:r w:rsidDel="00000000" w:rsidR="00000000" w:rsidRPr="00000000">
        <w:rPr>
          <w:rFonts w:ascii="Garamond" w:cs="Garamond" w:eastAsia="Garamond" w:hAnsi="Garamond"/>
          <w:rtl w:val="0"/>
        </w:rPr>
        <w:t xml:space="preserve"> Director of the Learning Support Center: </w:t>
      </w:r>
      <w:hyperlink r:id="rId11">
        <w:r w:rsidDel="00000000" w:rsidR="00000000" w:rsidRPr="00000000">
          <w:rPr>
            <w:rFonts w:ascii="Garamond" w:cs="Garamond" w:eastAsia="Garamond" w:hAnsi="Garamond"/>
            <w:color w:val="1155cc"/>
            <w:u w:val="single"/>
            <w:rtl w:val="0"/>
          </w:rPr>
          <w:t xml:space="preserve">learningcenter@landmark-cs.org</w:t>
        </w:r>
      </w:hyperlink>
      <w:r w:rsidDel="00000000" w:rsidR="00000000" w:rsidRPr="00000000">
        <w:rPr>
          <w:rFonts w:ascii="Garamond" w:cs="Garamond" w:eastAsia="Garamond" w:hAnsi="Garamond"/>
          <w:rtl w:val="0"/>
        </w:rPr>
        <w:tab/>
      </w:r>
    </w:p>
    <w:p w:rsidR="00000000" w:rsidDel="00000000" w:rsidP="00000000" w:rsidRDefault="00000000" w:rsidRPr="00000000" w14:paraId="00000051">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Lisa Smith, </w:t>
      </w:r>
      <w:r w:rsidDel="00000000" w:rsidR="00000000" w:rsidRPr="00000000">
        <w:rPr>
          <w:rFonts w:ascii="Garamond" w:cs="Garamond" w:eastAsia="Garamond" w:hAnsi="Garamond"/>
          <w:rtl w:val="0"/>
        </w:rPr>
        <w:t xml:space="preserve">Registrar: </w:t>
      </w:r>
      <w:hyperlink r:id="rId12">
        <w:r w:rsidDel="00000000" w:rsidR="00000000" w:rsidRPr="00000000">
          <w:rPr>
            <w:rFonts w:ascii="Garamond" w:cs="Garamond" w:eastAsia="Garamond" w:hAnsi="Garamond"/>
            <w:color w:val="1155cc"/>
            <w:u w:val="single"/>
            <w:rtl w:val="0"/>
          </w:rPr>
          <w:t xml:space="preserve">lsmith@landmark-cs.org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52">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Dara Titus, </w:t>
      </w:r>
      <w:r w:rsidDel="00000000" w:rsidR="00000000" w:rsidRPr="00000000">
        <w:rPr>
          <w:rFonts w:ascii="Garamond" w:cs="Garamond" w:eastAsia="Garamond" w:hAnsi="Garamond"/>
          <w:rtl w:val="0"/>
        </w:rPr>
        <w:t xml:space="preserve">Director of the Endorsement Program and PSAT/Pre-ACT Coordinator: </w:t>
      </w:r>
      <w:hyperlink r:id="rId13">
        <w:r w:rsidDel="00000000" w:rsidR="00000000" w:rsidRPr="00000000">
          <w:rPr>
            <w:rFonts w:ascii="Garamond" w:cs="Garamond" w:eastAsia="Garamond" w:hAnsi="Garamond"/>
            <w:color w:val="1155cc"/>
            <w:u w:val="single"/>
            <w:rtl w:val="0"/>
          </w:rPr>
          <w:t xml:space="preserve">dtitus@landmark-cs.org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53">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Brittany Bryan,</w:t>
      </w:r>
      <w:r w:rsidDel="00000000" w:rsidR="00000000" w:rsidRPr="00000000">
        <w:rPr>
          <w:rFonts w:ascii="Garamond" w:cs="Garamond" w:eastAsia="Garamond" w:hAnsi="Garamond"/>
          <w:rtl w:val="0"/>
        </w:rPr>
        <w:t xml:space="preserve"> Director of College Counseling and Dual Enrollment Coordinator: </w:t>
      </w:r>
      <w:hyperlink r:id="rId14">
        <w:r w:rsidDel="00000000" w:rsidR="00000000" w:rsidRPr="00000000">
          <w:rPr>
            <w:rFonts w:ascii="Garamond" w:cs="Garamond" w:eastAsia="Garamond" w:hAnsi="Garamond"/>
            <w:color w:val="1155cc"/>
            <w:u w:val="single"/>
            <w:rtl w:val="0"/>
          </w:rPr>
          <w:t xml:space="preserve">bbryan@landmark-cs.org</w:t>
        </w:r>
      </w:hyperlink>
      <w:r w:rsidDel="00000000" w:rsidR="00000000" w:rsidRPr="00000000">
        <w:rPr>
          <w:rtl w:val="0"/>
        </w:rPr>
      </w:r>
    </w:p>
    <w:p w:rsidR="00000000" w:rsidDel="00000000" w:rsidP="00000000" w:rsidRDefault="00000000" w:rsidRPr="00000000" w14:paraId="00000054">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Sarah Athearn,</w:t>
      </w:r>
      <w:r w:rsidDel="00000000" w:rsidR="00000000" w:rsidRPr="00000000">
        <w:rPr>
          <w:rFonts w:ascii="Garamond" w:cs="Garamond" w:eastAsia="Garamond" w:hAnsi="Garamond"/>
          <w:rtl w:val="0"/>
        </w:rPr>
        <w:t xml:space="preserve"> College Counselor: </w:t>
      </w:r>
      <w:hyperlink r:id="rId15">
        <w:r w:rsidDel="00000000" w:rsidR="00000000" w:rsidRPr="00000000">
          <w:rPr>
            <w:rFonts w:ascii="Garamond" w:cs="Garamond" w:eastAsia="Garamond" w:hAnsi="Garamond"/>
            <w:color w:val="1155cc"/>
            <w:u w:val="single"/>
            <w:rtl w:val="0"/>
          </w:rPr>
          <w:t xml:space="preserve">sarah.athearn@landmark-cs.org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55">
      <w:pPr>
        <w:tabs>
          <w:tab w:val="left" w:leader="none" w:pos="2520"/>
        </w:tabs>
        <w:ind w:left="0" w:firstLine="0"/>
        <w:rPr>
          <w:rFonts w:ascii="Garamond" w:cs="Garamond" w:eastAsia="Garamond" w:hAnsi="Garamond"/>
        </w:rPr>
      </w:pPr>
      <w:r w:rsidDel="00000000" w:rsidR="00000000" w:rsidRPr="00000000">
        <w:rPr>
          <w:rFonts w:ascii="Garamond" w:cs="Garamond" w:eastAsia="Garamond" w:hAnsi="Garamond"/>
          <w:b w:val="1"/>
          <w:rtl w:val="0"/>
        </w:rPr>
        <w:t xml:space="preserve">Houston Kessler,</w:t>
      </w:r>
      <w:r w:rsidDel="00000000" w:rsidR="00000000" w:rsidRPr="00000000">
        <w:rPr>
          <w:rFonts w:ascii="Garamond" w:cs="Garamond" w:eastAsia="Garamond" w:hAnsi="Garamond"/>
          <w:rtl w:val="0"/>
        </w:rPr>
        <w:t xml:space="preserve"> Director of College Athletic Recruiting: </w:t>
      </w:r>
      <w:hyperlink r:id="rId16">
        <w:r w:rsidDel="00000000" w:rsidR="00000000" w:rsidRPr="00000000">
          <w:rPr>
            <w:rFonts w:ascii="Garamond" w:cs="Garamond" w:eastAsia="Garamond" w:hAnsi="Garamond"/>
            <w:color w:val="1155cc"/>
            <w:u w:val="single"/>
            <w:rtl w:val="0"/>
          </w:rPr>
          <w:t xml:space="preserve">houston.kessler@landmark-cs.org</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56">
      <w:pPr>
        <w:tabs>
          <w:tab w:val="left" w:leader="none" w:pos="2520"/>
        </w:tabs>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57">
      <w:pPr>
        <w:tabs>
          <w:tab w:val="left" w:leader="none" w:pos="2520"/>
        </w:tabs>
        <w:ind w:left="0" w:firstLine="0"/>
        <w:rPr>
          <w:rFonts w:ascii="Garamond" w:cs="Garamond" w:eastAsia="Garamond" w:hAnsi="Garamond"/>
        </w:rPr>
      </w:pPr>
      <w:r w:rsidDel="00000000" w:rsidR="00000000" w:rsidRPr="00000000">
        <w:rPr>
          <w:rtl w:val="0"/>
        </w:rPr>
      </w:r>
    </w:p>
    <w:sectPr>
      <w:headerReference r:id="rId17" w:type="default"/>
      <w:pgSz w:h="15840" w:w="12240" w:orient="portrait"/>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center" w:leader="none" w:pos="4680"/>
        <w:tab w:val="right" w:leader="none" w:pos="9360"/>
      </w:tabs>
      <w:ind w:firstLine="0"/>
      <w:jc w:val="center"/>
      <w:rPr>
        <w:rFonts w:ascii="Georgia" w:cs="Georgia" w:eastAsia="Georgia" w:hAnsi="Georgia"/>
      </w:rPr>
    </w:pPr>
    <w:r w:rsidDel="00000000" w:rsidR="00000000" w:rsidRPr="00000000">
      <w:rPr>
        <w:rFonts w:ascii="Georgia" w:cs="Georgia" w:eastAsia="Georgia" w:hAnsi="Georgia"/>
      </w:rPr>
      <w:drawing>
        <wp:inline distB="0" distT="0" distL="114300" distR="114300">
          <wp:extent cx="3407410" cy="6521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07410" cy="65214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tabs>
        <w:tab w:val="center" w:leader="none" w:pos="4680"/>
        <w:tab w:val="right" w:leader="none" w:pos="9360"/>
      </w:tabs>
      <w:ind w:firstLine="0"/>
      <w:jc w:val="center"/>
      <w:rPr>
        <w:rFonts w:ascii="Georgia" w:cs="Georgia" w:eastAsia="Georgia" w:hAnsi="Georgia"/>
      </w:rPr>
    </w:pPr>
    <w:r w:rsidDel="00000000" w:rsidR="00000000" w:rsidRPr="00000000">
      <w:rPr>
        <w:rFonts w:ascii="Georgia" w:cs="Georgia" w:eastAsia="Georgia" w:hAnsi="Georgia"/>
        <w:rtl w:val="0"/>
      </w:rPr>
      <w:t xml:space="preserve">College Counseling</w:t>
    </w:r>
  </w:p>
  <w:p w:rsidR="00000000" w:rsidDel="00000000" w:rsidP="00000000" w:rsidRDefault="00000000" w:rsidRPr="00000000" w14:paraId="0000005A">
    <w:pPr>
      <w:tabs>
        <w:tab w:val="center" w:leader="none" w:pos="4680"/>
        <w:tab w:val="right" w:leader="none" w:pos="9360"/>
      </w:tabs>
      <w:ind w:firstLine="0"/>
      <w:jc w:val="center"/>
      <w:rPr>
        <w:rFonts w:ascii="Georgia" w:cs="Georgia" w:eastAsia="Georgia" w:hAnsi="Georg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NormalWeb">
    <w:name w:val="Normal (Web)"/>
    <w:basedOn w:val="Normal"/>
    <w:uiPriority w:val="99"/>
    <w:unhideWhenUsed w:val="1"/>
    <w:rsid w:val="00335C87"/>
    <w:pPr>
      <w:suppressAutoHyphens w:val="0"/>
      <w:spacing w:after="100" w:afterAutospacing="1" w:before="100" w:beforeAutospacing="1" w:line="240" w:lineRule="auto"/>
      <w:ind w:left="0" w:leftChars="0" w:firstLine="0" w:firstLineChars="0"/>
      <w:textDirection w:val="lrTb"/>
      <w:textAlignment w:val="auto"/>
      <w:outlineLvl w:val="9"/>
    </w:pPr>
    <w:rPr>
      <w:position w:val="0"/>
      <w:lang w:eastAsia="zh-CN"/>
    </w:r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learningcenter@landmark-cs.org" TargetMode="External"/><Relationship Id="rId10" Type="http://schemas.openxmlformats.org/officeDocument/2006/relationships/hyperlink" Target="mailto:ssheffield@landmark-cs.org" TargetMode="External"/><Relationship Id="rId13" Type="http://schemas.openxmlformats.org/officeDocument/2006/relationships/hyperlink" Target="mailto:dtitus@landmark-cs.org" TargetMode="External"/><Relationship Id="rId12" Type="http://schemas.openxmlformats.org/officeDocument/2006/relationships/hyperlink" Target="mailto:lsmith@landmark-c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harris@landmark-cs.org" TargetMode="External"/><Relationship Id="rId15" Type="http://schemas.openxmlformats.org/officeDocument/2006/relationships/hyperlink" Target="mailto:sarah.athearn@landmark-cs.org" TargetMode="External"/><Relationship Id="rId14" Type="http://schemas.openxmlformats.org/officeDocument/2006/relationships/hyperlink" Target="mailto:bbryan@landmark-cs.org" TargetMode="External"/><Relationship Id="rId17" Type="http://schemas.openxmlformats.org/officeDocument/2006/relationships/header" Target="header1.xml"/><Relationship Id="rId16" Type="http://schemas.openxmlformats.org/officeDocument/2006/relationships/hyperlink" Target="mailto:houston.kessler@landmark-c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ir.com" TargetMode="External"/><Relationship Id="rId8" Type="http://schemas.openxmlformats.org/officeDocument/2006/relationships/hyperlink" Target="mailto:dcurtis@landmark-c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4gHFN6NBvCL25MXmIc2QPhA==">CgMxLjA4AHIhMWVJLWxfT2hIc1ZuRDRiT2ZNcG1BOXpfeVJhZE5NUnoy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2021-09-15T16:45:00Z</dcterms:created>
  <dc:creator>arleen</dc:creator>
</cp:coreProperties>
</file>